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Gocce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Siamo gocce d'oceano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diamanti liquidi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che incantano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nell'immenso unico mare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che ci unisce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nel suo grembo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per essere sol un corpo,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un sol suono,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un sol lamento,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un sol canto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lesto nell'intensità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del suo ceruleo colore,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ma non saremo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mai gocce uguali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per veemenza propria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sulla pelle del destino,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sulla sponda delle risoluzioni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nel palato affamato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di difficoltà spasmodica!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Non saremo altri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che gocce di stelle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segmenti intersecantisi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regolari o irregolari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sul pentagramma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della vita che suona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 ritmo di bonaccia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ricamata dalle turbolenze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quando incombono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minacciose,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a stordire l'intensità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dell'essenza propria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nello spruzzo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dell'istante che ci separa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sullo scoglio della falesia.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Infine saremo gocce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gocce di polvere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disperse nel tempo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nel prosciugarci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quando soli,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lontani dal manto blu!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Avremmo desiderato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essere unici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piuttosto che uguali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nelle diversità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che ci contraddistinguono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seppur natii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dallo stesso fottio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delle stesse acque d'oceano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che dominano le inclinazioni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dei nostri cuori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nel vasto mare della vita,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senza dimenticare mai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che privi di esso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sin dalle origini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non saremmo neppure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semplice polvere!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©Laura Lapietra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_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